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Spacing w:w="0" w:type="dxa"/>
        <w:shd w:val="clear" w:color="auto" w:fill="FFFFFF"/>
        <w:tblCellMar>
          <w:left w:w="0" w:type="dxa"/>
          <w:right w:w="0" w:type="dxa"/>
        </w:tblCellMar>
        <w:tblLook w:val="04A0" w:firstRow="1" w:lastRow="0" w:firstColumn="1" w:lastColumn="0" w:noHBand="0" w:noVBand="1"/>
      </w:tblPr>
      <w:tblGrid>
        <w:gridCol w:w="3348"/>
        <w:gridCol w:w="6008"/>
      </w:tblGrid>
      <w:tr w:rsidR="000774D4" w:rsidRPr="000774D4" w:rsidTr="000774D4">
        <w:trPr>
          <w:tblCellSpacing w:w="0" w:type="dxa"/>
        </w:trPr>
        <w:tc>
          <w:tcPr>
            <w:tcW w:w="3348" w:type="dxa"/>
            <w:shd w:val="clear" w:color="auto" w:fill="FFFFFF"/>
            <w:tcMar>
              <w:top w:w="0" w:type="dxa"/>
              <w:left w:w="108" w:type="dxa"/>
              <w:bottom w:w="0" w:type="dxa"/>
              <w:right w:w="108" w:type="dxa"/>
            </w:tcMar>
            <w:hideMark/>
          </w:tcPr>
          <w:p w:rsidR="000774D4" w:rsidRPr="000774D4" w:rsidRDefault="000774D4" w:rsidP="000774D4">
            <w:pPr>
              <w:spacing w:before="120" w:after="120" w:line="234" w:lineRule="atLeast"/>
              <w:jc w:val="both"/>
              <w:rPr>
                <w:rFonts w:eastAsia="Times New Roman" w:cs="Times New Roman"/>
                <w:color w:val="000000"/>
                <w:sz w:val="24"/>
                <w:szCs w:val="24"/>
              </w:rPr>
            </w:pPr>
            <w:r w:rsidRPr="000774D4">
              <w:rPr>
                <w:rFonts w:eastAsia="Times New Roman" w:cs="Times New Roman"/>
                <w:b/>
                <w:bCs/>
                <w:color w:val="000000"/>
                <w:sz w:val="24"/>
                <w:szCs w:val="24"/>
              </w:rPr>
              <w:t>BỘ GIÁO DỤC VÀ ĐÀO TẠO</w:t>
            </w:r>
            <w:r w:rsidRPr="000774D4">
              <w:rPr>
                <w:rFonts w:eastAsia="Times New Roman" w:cs="Times New Roman"/>
                <w:color w:val="000000"/>
                <w:sz w:val="24"/>
                <w:szCs w:val="24"/>
              </w:rPr>
              <w:br/>
              <w:t>--------</w:t>
            </w:r>
          </w:p>
        </w:tc>
        <w:tc>
          <w:tcPr>
            <w:tcW w:w="6008" w:type="dxa"/>
            <w:shd w:val="clear" w:color="auto" w:fill="FFFFFF"/>
            <w:tcMar>
              <w:top w:w="0" w:type="dxa"/>
              <w:left w:w="108" w:type="dxa"/>
              <w:bottom w:w="0" w:type="dxa"/>
              <w:right w:w="108" w:type="dxa"/>
            </w:tcMar>
            <w:hideMark/>
          </w:tcPr>
          <w:p w:rsidR="000774D4" w:rsidRDefault="000774D4" w:rsidP="000774D4">
            <w:pPr>
              <w:spacing w:before="120" w:after="120" w:line="234" w:lineRule="atLeast"/>
              <w:jc w:val="both"/>
              <w:rPr>
                <w:rFonts w:eastAsia="Times New Roman" w:cs="Times New Roman"/>
                <w:b/>
                <w:bCs/>
                <w:color w:val="000000"/>
                <w:sz w:val="22"/>
              </w:rPr>
            </w:pPr>
            <w:r w:rsidRPr="000774D4">
              <w:rPr>
                <w:rFonts w:eastAsia="Times New Roman" w:cs="Times New Roman"/>
                <w:b/>
                <w:bCs/>
                <w:color w:val="000000"/>
                <w:sz w:val="24"/>
                <w:szCs w:val="24"/>
              </w:rPr>
              <w:t>CỘNG HÒA XÃ HỘI CHỦ NGHĨA VIỆT NAM</w:t>
            </w:r>
            <w:r w:rsidRPr="000774D4">
              <w:rPr>
                <w:rFonts w:eastAsia="Times New Roman" w:cs="Times New Roman"/>
                <w:b/>
                <w:bCs/>
                <w:color w:val="000000"/>
                <w:sz w:val="24"/>
                <w:szCs w:val="24"/>
              </w:rPr>
              <w:br/>
            </w:r>
            <w:r>
              <w:rPr>
                <w:rFonts w:eastAsia="Times New Roman" w:cs="Times New Roman"/>
                <w:b/>
                <w:bCs/>
                <w:color w:val="000000"/>
                <w:sz w:val="22"/>
              </w:rPr>
              <w:t xml:space="preserve">                      </w:t>
            </w:r>
            <w:r w:rsidRPr="000774D4">
              <w:rPr>
                <w:rFonts w:eastAsia="Times New Roman" w:cs="Times New Roman"/>
                <w:b/>
                <w:bCs/>
                <w:color w:val="000000"/>
                <w:sz w:val="22"/>
              </w:rPr>
              <w:t>Độc lập - Tự do - Hạnh phúc</w:t>
            </w:r>
          </w:p>
          <w:p w:rsidR="000774D4" w:rsidRPr="000774D4" w:rsidRDefault="000774D4" w:rsidP="000774D4">
            <w:pPr>
              <w:spacing w:before="120" w:after="120" w:line="234" w:lineRule="atLeast"/>
              <w:jc w:val="both"/>
              <w:rPr>
                <w:rFonts w:eastAsia="Times New Roman" w:cs="Times New Roman"/>
                <w:color w:val="000000"/>
                <w:sz w:val="24"/>
                <w:szCs w:val="24"/>
              </w:rPr>
            </w:pPr>
            <w:r>
              <w:rPr>
                <w:rFonts w:eastAsia="Times New Roman" w:cs="Times New Roman"/>
                <w:b/>
                <w:bCs/>
                <w:color w:val="000000"/>
                <w:sz w:val="24"/>
                <w:szCs w:val="24"/>
              </w:rPr>
              <w:br/>
            </w:r>
          </w:p>
        </w:tc>
      </w:tr>
      <w:tr w:rsidR="000774D4" w:rsidRPr="000774D4" w:rsidTr="000774D4">
        <w:trPr>
          <w:tblCellSpacing w:w="0" w:type="dxa"/>
        </w:trPr>
        <w:tc>
          <w:tcPr>
            <w:tcW w:w="3348" w:type="dxa"/>
            <w:shd w:val="clear" w:color="auto" w:fill="FFFFFF"/>
            <w:tcMar>
              <w:top w:w="0" w:type="dxa"/>
              <w:left w:w="108" w:type="dxa"/>
              <w:bottom w:w="0" w:type="dxa"/>
              <w:right w:w="108" w:type="dxa"/>
            </w:tcMar>
            <w:hideMark/>
          </w:tcPr>
          <w:p w:rsidR="000774D4" w:rsidRPr="000774D4" w:rsidRDefault="000774D4" w:rsidP="000774D4">
            <w:pPr>
              <w:spacing w:before="120" w:after="120" w:line="234" w:lineRule="atLeast"/>
              <w:jc w:val="both"/>
              <w:rPr>
                <w:rFonts w:eastAsia="Times New Roman" w:cs="Times New Roman"/>
                <w:color w:val="000000"/>
                <w:szCs w:val="28"/>
              </w:rPr>
            </w:pPr>
            <w:r w:rsidRPr="000774D4">
              <w:rPr>
                <w:rFonts w:eastAsia="Times New Roman" w:cs="Times New Roman"/>
                <w:color w:val="000000"/>
                <w:szCs w:val="28"/>
              </w:rPr>
              <w:t>Số: 2159/QĐ-BGDĐT</w:t>
            </w:r>
          </w:p>
        </w:tc>
        <w:tc>
          <w:tcPr>
            <w:tcW w:w="6008" w:type="dxa"/>
            <w:shd w:val="clear" w:color="auto" w:fill="FFFFFF"/>
            <w:tcMar>
              <w:top w:w="0" w:type="dxa"/>
              <w:left w:w="108" w:type="dxa"/>
              <w:bottom w:w="0" w:type="dxa"/>
              <w:right w:w="108" w:type="dxa"/>
            </w:tcMar>
            <w:hideMark/>
          </w:tcPr>
          <w:p w:rsidR="000774D4" w:rsidRPr="000774D4" w:rsidRDefault="000774D4" w:rsidP="000774D4">
            <w:pPr>
              <w:spacing w:before="120" w:after="120" w:line="234" w:lineRule="atLeast"/>
              <w:ind w:firstLine="567"/>
              <w:jc w:val="both"/>
              <w:rPr>
                <w:rFonts w:eastAsia="Times New Roman" w:cs="Times New Roman"/>
                <w:color w:val="000000"/>
                <w:szCs w:val="28"/>
              </w:rPr>
            </w:pPr>
            <w:r>
              <w:rPr>
                <w:rFonts w:eastAsia="Times New Roman" w:cs="Times New Roman"/>
                <w:i/>
                <w:iCs/>
                <w:color w:val="000000"/>
                <w:szCs w:val="28"/>
              </w:rPr>
              <w:t xml:space="preserve">     </w:t>
            </w:r>
            <w:r w:rsidRPr="000774D4">
              <w:rPr>
                <w:rFonts w:eastAsia="Times New Roman" w:cs="Times New Roman"/>
                <w:i/>
                <w:iCs/>
                <w:color w:val="000000"/>
                <w:szCs w:val="28"/>
              </w:rPr>
              <w:t>Hà Nội, ngày 05 tháng 08 năm 2022</w:t>
            </w:r>
          </w:p>
        </w:tc>
      </w:tr>
    </w:tbl>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b/>
          <w:bCs/>
          <w:color w:val="000000"/>
          <w:szCs w:val="28"/>
        </w:rPr>
        <w:t> </w:t>
      </w:r>
    </w:p>
    <w:p w:rsidR="000774D4" w:rsidRPr="000774D4" w:rsidRDefault="000774D4" w:rsidP="000774D4">
      <w:pPr>
        <w:shd w:val="clear" w:color="auto" w:fill="FFFFFF"/>
        <w:spacing w:before="120" w:after="120" w:line="234" w:lineRule="atLeast"/>
        <w:ind w:firstLine="567"/>
        <w:jc w:val="center"/>
        <w:rPr>
          <w:rFonts w:eastAsia="Times New Roman" w:cs="Times New Roman"/>
          <w:color w:val="000000"/>
          <w:szCs w:val="28"/>
        </w:rPr>
      </w:pPr>
      <w:r w:rsidRPr="000774D4">
        <w:rPr>
          <w:rFonts w:eastAsia="Times New Roman" w:cs="Times New Roman"/>
          <w:b/>
          <w:bCs/>
          <w:color w:val="000000"/>
          <w:szCs w:val="28"/>
        </w:rPr>
        <w:t>QUYẾT ĐỊNH</w:t>
      </w:r>
    </w:p>
    <w:p w:rsidR="000774D4" w:rsidRPr="000774D4" w:rsidRDefault="000774D4" w:rsidP="000774D4">
      <w:pPr>
        <w:shd w:val="clear" w:color="auto" w:fill="FFFFFF"/>
        <w:spacing w:before="120" w:after="120" w:line="234" w:lineRule="atLeast"/>
        <w:ind w:firstLine="567"/>
        <w:jc w:val="center"/>
        <w:rPr>
          <w:rFonts w:eastAsia="Times New Roman" w:cs="Times New Roman"/>
          <w:color w:val="000000"/>
          <w:szCs w:val="28"/>
        </w:rPr>
      </w:pPr>
      <w:r w:rsidRPr="000774D4">
        <w:rPr>
          <w:rFonts w:eastAsia="Times New Roman" w:cs="Times New Roman"/>
          <w:color w:val="000000"/>
          <w:szCs w:val="28"/>
        </w:rPr>
        <w:t>BAN HÀNH KHUNG KẾ HOẠCH THỜI GIAN NĂM HỌC 2022-2023 ĐỐI VỚI GIÁO DỤC MẦM NON, GIÁO DỤC PHỔ THÔNG VÀ GIÁO DỤC THƯỜNG XUYÊN</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b/>
          <w:bCs/>
          <w:color w:val="000000"/>
          <w:szCs w:val="28"/>
        </w:rPr>
        <w:t>BỘ TRƯỞNG BỘ GIÁO DỤC VÀ ĐÀO TẠO</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i/>
          <w:iCs/>
          <w:color w:val="000000"/>
          <w:szCs w:val="28"/>
        </w:rPr>
        <w:t>Căn cứ Luật Giáo dục ngày 14 tháng 6 năm 2019;</w:t>
      </w:r>
    </w:p>
    <w:p w:rsidR="000774D4" w:rsidRPr="000774D4" w:rsidRDefault="000774D4" w:rsidP="000774D4">
      <w:pPr>
        <w:shd w:val="clear" w:color="auto" w:fill="FFFFFF"/>
        <w:spacing w:after="0" w:line="234" w:lineRule="atLeast"/>
        <w:ind w:firstLine="567"/>
        <w:jc w:val="both"/>
        <w:rPr>
          <w:rFonts w:eastAsia="Times New Roman" w:cs="Times New Roman"/>
          <w:color w:val="000000"/>
          <w:szCs w:val="28"/>
        </w:rPr>
      </w:pPr>
      <w:r w:rsidRPr="000774D4">
        <w:rPr>
          <w:rFonts w:eastAsia="Times New Roman" w:cs="Times New Roman"/>
          <w:i/>
          <w:iCs/>
          <w:color w:val="000000"/>
          <w:szCs w:val="28"/>
        </w:rPr>
        <w:t>Căn cứ Nghị định số </w:t>
      </w:r>
      <w:hyperlink r:id="rId4" w:tgtFrame="_blank" w:tooltip="Nghị định 69/2017/NĐ-CP" w:history="1">
        <w:r w:rsidRPr="000774D4">
          <w:rPr>
            <w:rFonts w:eastAsia="Times New Roman" w:cs="Times New Roman"/>
            <w:i/>
            <w:iCs/>
            <w:color w:val="0E70C3"/>
            <w:szCs w:val="28"/>
            <w:u w:val="single"/>
          </w:rPr>
          <w:t>69/2017/NĐ-CP</w:t>
        </w:r>
      </w:hyperlink>
      <w:r w:rsidRPr="000774D4">
        <w:rPr>
          <w:rFonts w:eastAsia="Times New Roman" w:cs="Times New Roman"/>
          <w:i/>
          <w:iCs/>
          <w:color w:val="000000"/>
          <w:szCs w:val="28"/>
        </w:rPr>
        <w:t> ngày 25 tháng 5 năm 2017 của Chính phủ quy định chức năng, nhiệm vụ, quyền hạn và cơ cấu tổ chức của Bộ Giáo dục và Đào tạo;</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i/>
          <w:iCs/>
          <w:color w:val="000000"/>
          <w:szCs w:val="28"/>
        </w:rPr>
        <w:t>Theo đề nghị của Vụ trưởng Vụ Giáo dục Trung học.</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b/>
          <w:bCs/>
          <w:color w:val="000000"/>
          <w:szCs w:val="28"/>
        </w:rPr>
        <w:t>QUYẾT ĐỊNH:</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b/>
          <w:bCs/>
          <w:color w:val="000000"/>
          <w:szCs w:val="28"/>
        </w:rPr>
        <w:t>Điều 1. </w:t>
      </w:r>
      <w:r w:rsidRPr="000774D4">
        <w:rPr>
          <w:rFonts w:eastAsia="Times New Roman" w:cs="Times New Roman"/>
          <w:color w:val="000000"/>
          <w:szCs w:val="28"/>
        </w:rPr>
        <w:t>Ban hành khung kế hoạch thời gian năm học 2022-2023 đối với giáo dục mầm non, giáo dục phổ thông và giáo dục thường xuyên áp dụng trong toàn quốc như sau:</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1. Tựu trường sớm nhất trước 01 tuần so với ngày tổ chức khai giảng. Riêng đối với lớp 1, tựu trường sớm nhất trước 02 tuần so với ngày tổ chức khai giảng.</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2. Tổ chức khai giảng vào ngày 05 tháng 9 năm 2022.</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3. Kết thúc học kỳ I trước ngày 15 tháng 01 năm 2023, hoàn thành kế hoạch giáo dục học kỳ II trước ngày 25 tháng 5 năm 2023 và kết thúc năm học trước ngày 31 tháng 5 năm 2023.</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4. Xét công nhận hoàn thành chương trình tiểu học và xét công nhận tốt nghiệp trung học cơ sở trước ngày 30 tháng 6 năm 2023.</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5. Hoàn thành tuyển sinh các lớp đầu cấp trước ngày 31 tháng 7 năm 2023.</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6. Thi tốt nghiệp trung học phổ thông và các kỳ thi cấp quốc gia theo hướng dẫn của Bộ Giáo dục và Đào tạo.</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b/>
          <w:bCs/>
          <w:color w:val="000000"/>
          <w:szCs w:val="28"/>
        </w:rPr>
        <w:t>Điều 2. </w:t>
      </w:r>
      <w:r w:rsidRPr="000774D4">
        <w:rPr>
          <w:rFonts w:eastAsia="Times New Roman" w:cs="Times New Roman"/>
          <w:color w:val="000000"/>
          <w:szCs w:val="28"/>
        </w:rPr>
        <w:t>Nguyên tắc xây dựng kế hoạch thời gian năm học của các địa phương</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1. Kế hoạch thời gian năm học của địa phương phải bảo đảm số tuần thực học:</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a) Đối với giáo dục mầm non, giáo dục phổ thông có 35 tuần thực học (học kỳ I có 18 tuần, học kỳ II có 17 tuần);</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lastRenderedPageBreak/>
        <w:t>b) Đối với giáo dục thường xuyên (thực hiện chương trình giáo dục trung học cơ sở và trung học phổ thông).</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 Đối với các lớp 8, lớp 9 cấp trung học cơ sở và lớp 11, lớp 12 cấp trung học phổ thông có 32 tuần thực học (mỗi học kỳ có 16 tuần).</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 Đối với các lớp 6, 7 cấp trung học cơ sở và lớp 10 cấp trung học phổ thông có 35 tuần thực học (học kỳ I có 18 tuần, học kỳ II có 17 tuần).</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2. Kế hoạch thời gian năm học phải phù hợp với đặc điểm, điều kiện thực tiễn của địa phương.</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3. Các ngày nghỉ lễ, tết được thực hiện theo quy định của Luật Lao động và các văn bản hướng dẫn hằng năm.</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4. Thời gian nghỉ phép năm của giáo viên được thực hiện trong thời gian nghỉ hè hoặc có thể được bố trí xen kẽ vào thời gian khác trong năm để phù hợp với đặc điểm cụ thể và kế hoạch thời gian năm học của địa phương.</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5. Kế hoạch thời gian năm học cần bảo đảm sự đồng bộ cho các cấp học trên một địa bàn dân cư, đặc biệt trong trường phổ thông có nhiều cấp học.</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b/>
          <w:bCs/>
          <w:color w:val="000000"/>
          <w:szCs w:val="28"/>
        </w:rPr>
        <w:t>Điều 3. </w:t>
      </w:r>
      <w:r w:rsidRPr="000774D4">
        <w:rPr>
          <w:rFonts w:eastAsia="Times New Roman" w:cs="Times New Roman"/>
          <w:color w:val="000000"/>
          <w:szCs w:val="28"/>
        </w:rPr>
        <w:t>Nội dung kế hoạch thời gian năm học đối với giáo dục mầm non, giáo dục phổ thông và giáo dục thường xuyên ở các địa phương bao gồm:</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1. Ngày tựu trường, ngày khai giảng; ngày bắt đầu và ngày kết thúc học kỳ I; ngày bắt đầu và ngày kết thúc học kỳ II; ngày kết thúc năm học.</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2. Ngày thi học sinh giỏi, ngày xét công nhận hoàn thành chương trình giáo dục tiểu học, ngày xét công nhận tốt nghiệp trung học cơ sở.</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3. Ngày hoàn thành tuyển sinh vào các lớp đầu cấp học.</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4. Các ngày nghỉ lễ, tết.</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5. Thời gian nghỉ đối với giáo viên trong năm học.</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6. Các ngày nghỉ khác (nghỉ giữa học kỳ, nghỉ cuối học kỳ, nghỉ theo mùa, vụ, nghỉ tết của đồng bào dân tộc thiểu số, nghỉ lễ hội truyền thống của địa phương).</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b/>
          <w:bCs/>
          <w:color w:val="000000"/>
          <w:szCs w:val="28"/>
        </w:rPr>
        <w:t>Điều 4. </w:t>
      </w:r>
      <w:r w:rsidRPr="000774D4">
        <w:rPr>
          <w:rFonts w:eastAsia="Times New Roman" w:cs="Times New Roman"/>
          <w:color w:val="000000"/>
          <w:szCs w:val="28"/>
        </w:rPr>
        <w:t>Trách nhiệm thực hiện</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1. Chủ tịch Ủy ban nhân dân tỉnh, thành phố trực thuộc Trung ương quyết định:</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a) Kế hoạch thời gian năm học đối với giáo dục mầm non, giáo dục phổ thông và giáo dục thường xuyên phù hợp với thực tiễn của địa phương.</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b) Trong trường hợp ảnh hưởng bởi thiên tai, dịch bệnh, thời gian tựu trường và thời gian kéo dài năm học không quá 15 ngày so với quy định tại Điều 1 của Quyết định này để bảo đảm thực hiện và hoàn thành chương trình giáo dục mầm non, giáo dục phổ thông và giáo dục thường xuyên. Các trường hợp đặc biệt phát sinh khác báo cáo Bộ Giáo dục và Đào tạo trước khi thực hiện.</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2. Giám đốc Sở Giáo dục và Đào tạo:</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lastRenderedPageBreak/>
        <w:t>a) Quyết định cho học sinh nghỉ học trong trường hợp thời tiết quá khắc nghiệt, thiên tai và bố trí học bù; bảo đảm thời gian nghỉ của giáo viên trong năm học.</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color w:val="000000"/>
          <w:szCs w:val="28"/>
        </w:rPr>
        <w:t>b) Báo cáo về Bộ Giáo dục và Đào tạo: tình hình chuẩn bị năm học và tình hình tổ chức khai giảng năm học 2022-2023 trước ngày 10 tháng 9 năm 2022; sơ kết học kỳ I trước ngày 31 tháng 01 năm 2023; tổng kết năm học, báo cáo kết quả thực hiện các tiêu chí thi đua và đề nghị xét khen thưởng năm học trước ngày 25 tháng 6 năm 2023; những quyết định của Chủ tịch Ủy ban nhân dân tỉnh, thành phố trực thuộc Trung ương trong các trường hợp quy định tại khoản 1 Điều này.</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b/>
          <w:bCs/>
          <w:color w:val="000000"/>
          <w:szCs w:val="28"/>
        </w:rPr>
        <w:t>Điều 5. </w:t>
      </w:r>
      <w:r w:rsidRPr="000774D4">
        <w:rPr>
          <w:rFonts w:eastAsia="Times New Roman" w:cs="Times New Roman"/>
          <w:color w:val="000000"/>
          <w:szCs w:val="28"/>
        </w:rPr>
        <w:t>Quyết định này có hiệu lực kể từ ngày ký.</w:t>
      </w:r>
    </w:p>
    <w:p w:rsidR="000774D4" w:rsidRPr="000774D4" w:rsidRDefault="000774D4" w:rsidP="000774D4">
      <w:pPr>
        <w:shd w:val="clear" w:color="auto" w:fill="FFFFFF"/>
        <w:spacing w:before="120" w:after="120" w:line="234" w:lineRule="atLeast"/>
        <w:ind w:firstLine="567"/>
        <w:jc w:val="both"/>
        <w:rPr>
          <w:rFonts w:eastAsia="Times New Roman" w:cs="Times New Roman"/>
          <w:color w:val="000000"/>
          <w:szCs w:val="28"/>
        </w:rPr>
      </w:pPr>
      <w:r w:rsidRPr="000774D4">
        <w:rPr>
          <w:rFonts w:eastAsia="Times New Roman" w:cs="Times New Roman"/>
          <w:b/>
          <w:bCs/>
          <w:color w:val="000000"/>
          <w:szCs w:val="28"/>
        </w:rPr>
        <w:t>Điều 6. </w:t>
      </w:r>
      <w:r w:rsidRPr="000774D4">
        <w:rPr>
          <w:rFonts w:eastAsia="Times New Roman" w:cs="Times New Roman"/>
          <w:color w:val="000000"/>
          <w:szCs w:val="28"/>
        </w:rPr>
        <w:t>Chánh Văn phòng, Thủ trưởng các đơn vị thuộc Bộ Giáo dục và Đào tạo, Chủ tịch Ủy ban nhân dân tỉnh, thành phố trực thuộc Trung ương, Giám đốc Sở Giáo dục và Đào tạo chịu trách nhiệm thi hành Quyết định này./.</w:t>
      </w:r>
    </w:p>
    <w:p w:rsidR="000774D4" w:rsidRPr="000774D4" w:rsidRDefault="000774D4" w:rsidP="000774D4">
      <w:pPr>
        <w:shd w:val="clear" w:color="auto" w:fill="FFFFFF"/>
        <w:spacing w:before="120" w:after="120" w:line="234" w:lineRule="atLeast"/>
        <w:rPr>
          <w:rFonts w:ascii="Arial" w:eastAsia="Times New Roman" w:hAnsi="Arial" w:cs="Arial"/>
          <w:color w:val="000000"/>
          <w:sz w:val="18"/>
          <w:szCs w:val="18"/>
        </w:rPr>
      </w:pPr>
      <w:r w:rsidRPr="000774D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8"/>
        <w:gridCol w:w="4068"/>
      </w:tblGrid>
      <w:tr w:rsidR="000774D4" w:rsidRPr="000774D4" w:rsidTr="000774D4">
        <w:trPr>
          <w:tblCellSpacing w:w="0" w:type="dxa"/>
        </w:trPr>
        <w:tc>
          <w:tcPr>
            <w:tcW w:w="4788" w:type="dxa"/>
            <w:shd w:val="clear" w:color="auto" w:fill="FFFFFF"/>
            <w:tcMar>
              <w:top w:w="0" w:type="dxa"/>
              <w:left w:w="108" w:type="dxa"/>
              <w:bottom w:w="0" w:type="dxa"/>
              <w:right w:w="108" w:type="dxa"/>
            </w:tcMar>
            <w:hideMark/>
          </w:tcPr>
          <w:p w:rsidR="000774D4" w:rsidRPr="000774D4" w:rsidRDefault="000774D4" w:rsidP="000774D4">
            <w:pPr>
              <w:spacing w:before="120" w:after="120" w:line="234" w:lineRule="atLeast"/>
              <w:rPr>
                <w:rFonts w:eastAsia="Times New Roman" w:cs="Times New Roman"/>
                <w:color w:val="000000"/>
                <w:sz w:val="24"/>
                <w:szCs w:val="24"/>
              </w:rPr>
            </w:pPr>
            <w:r w:rsidRPr="000774D4">
              <w:rPr>
                <w:rFonts w:eastAsia="Times New Roman" w:cs="Times New Roman"/>
                <w:color w:val="000000"/>
                <w:sz w:val="24"/>
                <w:szCs w:val="24"/>
              </w:rPr>
              <w:br/>
            </w:r>
            <w:r w:rsidRPr="000774D4">
              <w:rPr>
                <w:rFonts w:eastAsia="Times New Roman" w:cs="Times New Roman"/>
                <w:b/>
                <w:bCs/>
                <w:i/>
                <w:iCs/>
                <w:color w:val="000000"/>
                <w:sz w:val="24"/>
                <w:szCs w:val="24"/>
              </w:rPr>
              <w:t>Nơi nhận:</w:t>
            </w:r>
            <w:r w:rsidRPr="000774D4">
              <w:rPr>
                <w:rFonts w:eastAsia="Times New Roman" w:cs="Times New Roman"/>
                <w:b/>
                <w:bCs/>
                <w:i/>
                <w:iCs/>
                <w:color w:val="000000"/>
                <w:sz w:val="24"/>
                <w:szCs w:val="24"/>
              </w:rPr>
              <w:br/>
            </w:r>
            <w:r w:rsidRPr="000774D4">
              <w:rPr>
                <w:rFonts w:eastAsia="Times New Roman" w:cs="Times New Roman"/>
                <w:color w:val="000000"/>
                <w:sz w:val="24"/>
                <w:szCs w:val="24"/>
              </w:rPr>
              <w:t>- Như Điều 6</w:t>
            </w:r>
            <w:bookmarkStart w:id="0" w:name="_GoBack"/>
            <w:bookmarkEnd w:id="0"/>
            <w:r w:rsidRPr="000774D4">
              <w:rPr>
                <w:rFonts w:eastAsia="Times New Roman" w:cs="Times New Roman"/>
                <w:color w:val="000000"/>
                <w:sz w:val="24"/>
                <w:szCs w:val="24"/>
              </w:rPr>
              <w:t>;</w:t>
            </w:r>
            <w:r w:rsidRPr="000774D4">
              <w:rPr>
                <w:rFonts w:eastAsia="Times New Roman" w:cs="Times New Roman"/>
                <w:color w:val="000000"/>
                <w:sz w:val="24"/>
                <w:szCs w:val="24"/>
              </w:rPr>
              <w:br/>
              <w:t>- Ban Tuyên giáo Trung ương;</w:t>
            </w:r>
            <w:r w:rsidRPr="000774D4">
              <w:rPr>
                <w:rFonts w:eastAsia="Times New Roman" w:cs="Times New Roman"/>
                <w:color w:val="000000"/>
                <w:sz w:val="24"/>
                <w:szCs w:val="24"/>
              </w:rPr>
              <w:br/>
              <w:t>- Ủy ban Văn hóa, Giáo dục của Quốc hội;</w:t>
            </w:r>
            <w:r w:rsidRPr="000774D4">
              <w:rPr>
                <w:rFonts w:eastAsia="Times New Roman" w:cs="Times New Roman"/>
                <w:color w:val="000000"/>
                <w:sz w:val="24"/>
                <w:szCs w:val="24"/>
              </w:rPr>
              <w:br/>
              <w:t>- Văn phòng Trung ương Đảng;</w:t>
            </w:r>
            <w:r w:rsidRPr="000774D4">
              <w:rPr>
                <w:rFonts w:eastAsia="Times New Roman" w:cs="Times New Roman"/>
                <w:color w:val="000000"/>
                <w:sz w:val="24"/>
                <w:szCs w:val="24"/>
              </w:rPr>
              <w:br/>
              <w:t>- Văn phòng Chủ tịch nước;</w:t>
            </w:r>
            <w:r w:rsidRPr="000774D4">
              <w:rPr>
                <w:rFonts w:eastAsia="Times New Roman" w:cs="Times New Roman"/>
                <w:color w:val="000000"/>
                <w:sz w:val="24"/>
                <w:szCs w:val="24"/>
              </w:rPr>
              <w:br/>
              <w:t>- Văn phòng Chính phủ;</w:t>
            </w:r>
            <w:r w:rsidRPr="000774D4">
              <w:rPr>
                <w:rFonts w:eastAsia="Times New Roman" w:cs="Times New Roman"/>
                <w:color w:val="000000"/>
                <w:sz w:val="24"/>
                <w:szCs w:val="24"/>
              </w:rPr>
              <w:br/>
              <w:t>- Văn phòng Quốc hội;</w:t>
            </w:r>
            <w:r w:rsidRPr="000774D4">
              <w:rPr>
                <w:rFonts w:eastAsia="Times New Roman" w:cs="Times New Roman"/>
                <w:color w:val="000000"/>
                <w:sz w:val="24"/>
                <w:szCs w:val="24"/>
              </w:rPr>
              <w:br/>
              <w:t>- Tỉnh ủy, Thành ủy, HĐND, UBND các tỉnh, thành phố;</w:t>
            </w:r>
            <w:r w:rsidRPr="000774D4">
              <w:rPr>
                <w:rFonts w:eastAsia="Times New Roman" w:cs="Times New Roman"/>
                <w:color w:val="000000"/>
                <w:sz w:val="24"/>
                <w:szCs w:val="24"/>
              </w:rPr>
              <w:br/>
              <w:t>- Bộ trưởng;</w:t>
            </w:r>
            <w:r w:rsidRPr="000774D4">
              <w:rPr>
                <w:rFonts w:eastAsia="Times New Roman" w:cs="Times New Roman"/>
                <w:color w:val="000000"/>
                <w:sz w:val="24"/>
                <w:szCs w:val="24"/>
              </w:rPr>
              <w:br/>
              <w:t>- Các Thứ trưởng;</w:t>
            </w:r>
            <w:r w:rsidRPr="000774D4">
              <w:rPr>
                <w:rFonts w:eastAsia="Times New Roman" w:cs="Times New Roman"/>
                <w:color w:val="000000"/>
                <w:sz w:val="24"/>
                <w:szCs w:val="24"/>
              </w:rPr>
              <w:br/>
              <w:t>- Công đoàn Giáo dục Việt Nam;</w:t>
            </w:r>
            <w:r w:rsidRPr="000774D4">
              <w:rPr>
                <w:rFonts w:eastAsia="Times New Roman" w:cs="Times New Roman"/>
                <w:color w:val="000000"/>
                <w:sz w:val="24"/>
                <w:szCs w:val="24"/>
              </w:rPr>
              <w:br/>
              <w:t>- Hội Khuyến học Việt Nam;</w:t>
            </w:r>
            <w:r w:rsidRPr="000774D4">
              <w:rPr>
                <w:rFonts w:eastAsia="Times New Roman" w:cs="Times New Roman"/>
                <w:color w:val="000000"/>
                <w:sz w:val="24"/>
                <w:szCs w:val="24"/>
              </w:rPr>
              <w:br/>
              <w:t>- Hội Cựu Giáo chức Việt Nam;</w:t>
            </w:r>
            <w:r w:rsidRPr="000774D4">
              <w:rPr>
                <w:rFonts w:eastAsia="Times New Roman" w:cs="Times New Roman"/>
                <w:color w:val="000000"/>
                <w:sz w:val="24"/>
                <w:szCs w:val="24"/>
              </w:rPr>
              <w:br/>
              <w:t>- Cổng thông tin điện tử Bộ GDĐT;</w:t>
            </w:r>
            <w:r w:rsidRPr="000774D4">
              <w:rPr>
                <w:rFonts w:eastAsia="Times New Roman" w:cs="Times New Roman"/>
                <w:color w:val="000000"/>
                <w:sz w:val="24"/>
                <w:szCs w:val="24"/>
              </w:rPr>
              <w:br/>
              <w:t>- Lưu: VT, GDTrH.</w:t>
            </w:r>
          </w:p>
        </w:tc>
        <w:tc>
          <w:tcPr>
            <w:tcW w:w="4068" w:type="dxa"/>
            <w:shd w:val="clear" w:color="auto" w:fill="FFFFFF"/>
            <w:tcMar>
              <w:top w:w="0" w:type="dxa"/>
              <w:left w:w="108" w:type="dxa"/>
              <w:bottom w:w="0" w:type="dxa"/>
              <w:right w:w="108" w:type="dxa"/>
            </w:tcMar>
            <w:hideMark/>
          </w:tcPr>
          <w:p w:rsidR="000774D4" w:rsidRPr="000774D4" w:rsidRDefault="000774D4" w:rsidP="000774D4">
            <w:pPr>
              <w:spacing w:before="120" w:after="120" w:line="234" w:lineRule="atLeast"/>
              <w:jc w:val="center"/>
              <w:rPr>
                <w:rFonts w:eastAsia="Times New Roman" w:cs="Times New Roman"/>
                <w:color w:val="000000"/>
                <w:sz w:val="24"/>
                <w:szCs w:val="24"/>
              </w:rPr>
            </w:pPr>
            <w:r w:rsidRPr="000774D4">
              <w:rPr>
                <w:rFonts w:eastAsia="Times New Roman" w:cs="Times New Roman"/>
                <w:b/>
                <w:bCs/>
                <w:color w:val="000000"/>
                <w:sz w:val="24"/>
                <w:szCs w:val="24"/>
              </w:rPr>
              <w:t>KT. BỘ TRƯỞNG</w:t>
            </w:r>
            <w:r w:rsidRPr="000774D4">
              <w:rPr>
                <w:rFonts w:eastAsia="Times New Roman" w:cs="Times New Roman"/>
                <w:b/>
                <w:bCs/>
                <w:color w:val="000000"/>
                <w:sz w:val="24"/>
                <w:szCs w:val="24"/>
              </w:rPr>
              <w:br/>
              <w:t>THỨ TRƯỞNG</w:t>
            </w:r>
            <w:r w:rsidRPr="000774D4">
              <w:rPr>
                <w:rFonts w:eastAsia="Times New Roman" w:cs="Times New Roman"/>
                <w:color w:val="000000"/>
                <w:sz w:val="24"/>
                <w:szCs w:val="24"/>
              </w:rPr>
              <w:br/>
            </w:r>
            <w:r w:rsidRPr="000774D4">
              <w:rPr>
                <w:rFonts w:eastAsia="Times New Roman" w:cs="Times New Roman"/>
                <w:color w:val="000000"/>
                <w:sz w:val="24"/>
                <w:szCs w:val="24"/>
              </w:rPr>
              <w:br/>
            </w:r>
            <w:r w:rsidRPr="000774D4">
              <w:rPr>
                <w:rFonts w:eastAsia="Times New Roman" w:cs="Times New Roman"/>
                <w:color w:val="000000"/>
                <w:sz w:val="24"/>
                <w:szCs w:val="24"/>
              </w:rPr>
              <w:br/>
            </w:r>
            <w:r w:rsidRPr="000774D4">
              <w:rPr>
                <w:rFonts w:eastAsia="Times New Roman" w:cs="Times New Roman"/>
                <w:color w:val="000000"/>
                <w:sz w:val="24"/>
                <w:szCs w:val="24"/>
              </w:rPr>
              <w:br/>
            </w:r>
            <w:r w:rsidRPr="000774D4">
              <w:rPr>
                <w:rFonts w:eastAsia="Times New Roman" w:cs="Times New Roman"/>
                <w:color w:val="000000"/>
                <w:sz w:val="24"/>
                <w:szCs w:val="24"/>
              </w:rPr>
              <w:br/>
            </w:r>
            <w:r w:rsidRPr="000774D4">
              <w:rPr>
                <w:rFonts w:eastAsia="Times New Roman" w:cs="Times New Roman"/>
                <w:b/>
                <w:bCs/>
                <w:color w:val="000000"/>
                <w:sz w:val="24"/>
                <w:szCs w:val="24"/>
              </w:rPr>
              <w:t>Nguyễn Hữu Độ</w:t>
            </w:r>
          </w:p>
        </w:tc>
      </w:tr>
    </w:tbl>
    <w:p w:rsidR="003311E9" w:rsidRDefault="003311E9"/>
    <w:sectPr w:rsidR="003311E9"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D4"/>
    <w:rsid w:val="000774D4"/>
    <w:rsid w:val="003311E9"/>
    <w:rsid w:val="003740F2"/>
    <w:rsid w:val="00B8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BE2A"/>
  <w15:chartTrackingRefBased/>
  <w15:docId w15:val="{01004069-8A47-433B-9C2E-8B97FFD5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2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69-2017-nd-cp-chuc-nang-nhiem-vu-quyen-han-co-cau-to-chuc-bo-giao-duc-va-dao-tao-35020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4772</Characters>
  <Application>Microsoft Office Word</Application>
  <DocSecurity>0</DocSecurity>
  <Lines>39</Lines>
  <Paragraphs>11</Paragraphs>
  <ScaleCrop>false</ScaleCrop>
  <Company>Microsoft</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2022-08-07T13:48:00Z</dcterms:created>
  <dcterms:modified xsi:type="dcterms:W3CDTF">2022-08-07T13:50:00Z</dcterms:modified>
</cp:coreProperties>
</file>